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C21" w:rsidRDefault="008565E4" w:rsidP="008565E4">
      <w:pPr>
        <w:widowControl/>
        <w:jc w:val="center"/>
        <w:rPr>
          <w:rFonts w:ascii="標楷體" w:eastAsia="標楷體" w:hAnsi="標楷體" w:cs="新細明體" w:hint="eastAsia"/>
          <w:b/>
          <w:kern w:val="0"/>
          <w:sz w:val="40"/>
          <w:szCs w:val="40"/>
        </w:rPr>
      </w:pPr>
      <w:r w:rsidRPr="008565E4">
        <w:rPr>
          <w:rFonts w:ascii="標楷體" w:eastAsia="標楷體" w:hAnsi="標楷體" w:cs="新細明體" w:hint="eastAsia"/>
          <w:b/>
          <w:kern w:val="0"/>
          <w:sz w:val="40"/>
          <w:szCs w:val="40"/>
        </w:rPr>
        <w:t>研發成果歸屬相關規定（節錄）</w:t>
      </w:r>
    </w:p>
    <w:p w:rsidR="0040235F" w:rsidRPr="0040235F" w:rsidRDefault="00814FBB" w:rsidP="0040235F">
      <w:pPr>
        <w:widowControl/>
        <w:rPr>
          <w:rFonts w:ascii="標楷體" w:eastAsia="標楷體" w:hAnsi="標楷體" w:cs="新細明體" w:hint="eastAsia"/>
          <w:b/>
          <w:kern w:val="0"/>
          <w:sz w:val="28"/>
          <w:szCs w:val="28"/>
        </w:rPr>
      </w:pPr>
      <w:r w:rsidRPr="00C53C11">
        <w:rPr>
          <w:rFonts w:ascii="標楷體" w:eastAsia="標楷體" w:hAnsi="標楷體" w:cs="新細明體" w:hint="eastAsia"/>
          <w:b/>
          <w:kern w:val="0"/>
          <w:sz w:val="28"/>
          <w:szCs w:val="28"/>
        </w:rPr>
        <w:t>一、專利法第七條：</w:t>
      </w:r>
    </w:p>
    <w:p w:rsidR="0040235F" w:rsidRPr="0040235F" w:rsidRDefault="0040235F" w:rsidP="0040235F">
      <w:pPr>
        <w:widowControl/>
        <w:numPr>
          <w:ilvl w:val="0"/>
          <w:numId w:val="2"/>
        </w:numPr>
        <w:rPr>
          <w:rFonts w:ascii="標楷體" w:eastAsia="標楷體" w:hAnsi="標楷體" w:hint="eastAsia"/>
          <w:color w:val="000000"/>
        </w:rPr>
      </w:pPr>
      <w:r w:rsidRPr="0040235F">
        <w:rPr>
          <w:rFonts w:ascii="標楷體" w:eastAsia="標楷體" w:hAnsi="標楷體" w:hint="eastAsia"/>
          <w:color w:val="000000"/>
        </w:rPr>
        <w:t>受雇人於職務上所完成之發明、新型或設計，其專利申請權及專利權屬於雇用人，雇用人應支付受雇人適當之報酬。但契約另有約定者，從其約定。</w:t>
      </w:r>
    </w:p>
    <w:p w:rsidR="0040235F" w:rsidRPr="0040235F" w:rsidRDefault="0040235F" w:rsidP="0040235F">
      <w:pPr>
        <w:widowControl/>
        <w:numPr>
          <w:ilvl w:val="0"/>
          <w:numId w:val="2"/>
        </w:numPr>
        <w:rPr>
          <w:rFonts w:ascii="標楷體" w:eastAsia="標楷體" w:hAnsi="標楷體" w:hint="eastAsia"/>
          <w:color w:val="000000"/>
        </w:rPr>
      </w:pPr>
      <w:r w:rsidRPr="0040235F">
        <w:rPr>
          <w:rFonts w:ascii="標楷體" w:eastAsia="標楷體" w:hAnsi="標楷體" w:hint="eastAsia"/>
          <w:color w:val="000000"/>
        </w:rPr>
        <w:t>前項所稱職務上之發明、新型或設計，指受雇人於僱傭關係中之工作所完成之發明、新型或設計。</w:t>
      </w:r>
    </w:p>
    <w:p w:rsidR="0040235F" w:rsidRPr="0040235F" w:rsidRDefault="0040235F" w:rsidP="0040235F">
      <w:pPr>
        <w:widowControl/>
        <w:numPr>
          <w:ilvl w:val="0"/>
          <w:numId w:val="2"/>
        </w:numPr>
        <w:rPr>
          <w:rFonts w:ascii="標楷體" w:eastAsia="標楷體" w:hAnsi="標楷體" w:hint="eastAsia"/>
          <w:color w:val="000000"/>
        </w:rPr>
      </w:pPr>
      <w:r w:rsidRPr="0040235F">
        <w:rPr>
          <w:rFonts w:ascii="標楷體" w:eastAsia="標楷體" w:hAnsi="標楷體" w:hint="eastAsia"/>
          <w:color w:val="000000"/>
        </w:rPr>
        <w:t>一方出資聘請他人從事研究開發者，其專利申請權及專利權之歸屬依雙方契約約定；契約未約定者，屬於發明人、新型創作人或設計人。但出資人得實施其發明、新型或設計。</w:t>
      </w:r>
    </w:p>
    <w:p w:rsidR="0040235F" w:rsidRPr="0040235F" w:rsidRDefault="0040235F" w:rsidP="0040235F">
      <w:pPr>
        <w:widowControl/>
        <w:numPr>
          <w:ilvl w:val="0"/>
          <w:numId w:val="2"/>
        </w:numPr>
        <w:rPr>
          <w:rFonts w:ascii="標楷體" w:eastAsia="標楷體" w:hAnsi="標楷體"/>
          <w:color w:val="000000"/>
        </w:rPr>
      </w:pPr>
      <w:r w:rsidRPr="0040235F">
        <w:rPr>
          <w:rFonts w:ascii="標楷體" w:eastAsia="標楷體" w:hAnsi="標楷體" w:hint="eastAsia"/>
          <w:color w:val="000000"/>
        </w:rPr>
        <w:t>依第一項、前項之規定，專利申請權及專利權歸屬於雇用人或出資人者，發明人、新型創作人或設計人享有姓名表示權。</w:t>
      </w:r>
      <w:bookmarkStart w:id="0" w:name="_GoBack"/>
      <w:bookmarkEnd w:id="0"/>
    </w:p>
    <w:p w:rsidR="00674234" w:rsidRPr="00BA760D" w:rsidRDefault="00674234" w:rsidP="00674234">
      <w:pPr>
        <w:widowControl/>
        <w:rPr>
          <w:rFonts w:ascii="標楷體" w:eastAsia="標楷體" w:hAnsi="標楷體" w:hint="eastAsia"/>
          <w:b/>
          <w:color w:val="000000"/>
          <w:sz w:val="32"/>
          <w:szCs w:val="32"/>
        </w:rPr>
      </w:pPr>
      <w:r w:rsidRPr="00BA760D">
        <w:rPr>
          <w:rFonts w:ascii="標楷體" w:eastAsia="標楷體" w:hAnsi="標楷體" w:hint="eastAsia"/>
          <w:b/>
          <w:color w:val="000000"/>
          <w:sz w:val="32"/>
          <w:szCs w:val="32"/>
        </w:rPr>
        <w:t>二、科學基本法第六條：</w:t>
      </w:r>
    </w:p>
    <w:p w:rsidR="00674234" w:rsidRPr="00674234" w:rsidRDefault="00674234" w:rsidP="00674234">
      <w:pPr>
        <w:pStyle w:val="a3"/>
        <w:kinsoku w:val="0"/>
        <w:spacing w:line="400" w:lineRule="exact"/>
        <w:rPr>
          <w:rFonts w:hAnsi="標楷體" w:hint="eastAsia"/>
          <w:color w:val="000000"/>
          <w:sz w:val="24"/>
          <w:szCs w:val="24"/>
        </w:rPr>
      </w:pPr>
      <w:r w:rsidRPr="00674234">
        <w:rPr>
          <w:rFonts w:hAnsi="標楷體" w:hint="eastAsia"/>
          <w:color w:val="000000"/>
          <w:sz w:val="24"/>
          <w:szCs w:val="24"/>
        </w:rPr>
        <w:t xml:space="preserve">第六條   (研究之智慧財產權與成果之歸屬與運用原則)      </w:t>
      </w:r>
    </w:p>
    <w:p w:rsidR="0040235F" w:rsidRDefault="0040235F" w:rsidP="0040235F">
      <w:pPr>
        <w:widowControl/>
        <w:numPr>
          <w:ilvl w:val="0"/>
          <w:numId w:val="3"/>
        </w:numPr>
        <w:rPr>
          <w:rFonts w:ascii="標楷體" w:eastAsia="標楷體" w:hAnsi="標楷體"/>
          <w:color w:val="000000"/>
        </w:rPr>
      </w:pPr>
      <w:r w:rsidRPr="0040235F">
        <w:rPr>
          <w:rFonts w:ascii="標楷體" w:eastAsia="標楷體" w:hAnsi="標楷體" w:hint="eastAsia"/>
          <w:color w:val="000000"/>
        </w:rPr>
        <w:t>政府補助、委託、出資或公立研究機關（構）依法編列科學技術研究發展預算所進行之科學技術研究發展，應依評選或審查之方式決定對象，評選或審查應附理由。其所獲得之研究發展成果，得全部或一部歸屬於執行研究發展之單位所有或授權使用，不受國有財產法之限制。</w:t>
      </w:r>
    </w:p>
    <w:p w:rsidR="0040235F" w:rsidRDefault="0040235F" w:rsidP="0040235F">
      <w:pPr>
        <w:widowControl/>
        <w:numPr>
          <w:ilvl w:val="0"/>
          <w:numId w:val="3"/>
        </w:numPr>
        <w:rPr>
          <w:rFonts w:ascii="標楷體" w:eastAsia="標楷體" w:hAnsi="標楷體"/>
          <w:color w:val="000000"/>
        </w:rPr>
      </w:pPr>
      <w:r w:rsidRPr="0040235F">
        <w:rPr>
          <w:rFonts w:ascii="標楷體" w:eastAsia="標楷體" w:hAnsi="標楷體" w:hint="eastAsia"/>
          <w:color w:val="000000"/>
        </w:rPr>
        <w:t>前項研究發展成果及其收入，歸屬於公立學校、公立機關（構）或公營事業者，其保管、使用、收益及處分不受國有財產法第十一條、第十三條、第十四條、第二十條、第二十五條、第二十八條、第二十九條、第三十三條、第三十五條、第三十六條、第五十六條、第五十七條、第五十八條、第六十條及第六十四條規定之限制。</w:t>
      </w:r>
    </w:p>
    <w:p w:rsidR="0040235F" w:rsidRDefault="0040235F" w:rsidP="0040235F">
      <w:pPr>
        <w:widowControl/>
        <w:numPr>
          <w:ilvl w:val="0"/>
          <w:numId w:val="3"/>
        </w:numPr>
        <w:rPr>
          <w:rFonts w:ascii="標楷體" w:eastAsia="標楷體" w:hAnsi="標楷體"/>
          <w:color w:val="000000"/>
        </w:rPr>
      </w:pPr>
      <w:r w:rsidRPr="0040235F">
        <w:rPr>
          <w:rFonts w:ascii="標楷體" w:eastAsia="標楷體" w:hAnsi="標楷體" w:hint="eastAsia"/>
          <w:color w:val="000000"/>
        </w:rPr>
        <w:t>前二項研究發展成果及其收入之歸屬及運用，應依公平及效益原則，參酌資本與勞務之比例及貢獻，科學技術研究發展成果之性質、運用潛力、社會公益、國家安全及對市場之影響，就其目的、要件、期限、範圍、全部或一部之比例、登記、管理、收益分配、迴避及其相關資訊之揭露、資助機關介入授權第三人實施或收歸國有及相關程序等事項之辦法，由行政院統籌規劃訂定；各主管機關並得訂定相關法規命令施行之。</w:t>
      </w:r>
    </w:p>
    <w:p w:rsidR="0040235F" w:rsidRDefault="0040235F" w:rsidP="0040235F">
      <w:pPr>
        <w:widowControl/>
        <w:numPr>
          <w:ilvl w:val="0"/>
          <w:numId w:val="3"/>
        </w:numPr>
        <w:rPr>
          <w:rFonts w:ascii="標楷體" w:eastAsia="標楷體" w:hAnsi="標楷體"/>
          <w:color w:val="000000"/>
        </w:rPr>
      </w:pPr>
      <w:r w:rsidRPr="0040235F">
        <w:rPr>
          <w:rFonts w:ascii="標楷體" w:eastAsia="標楷體" w:hAnsi="標楷體" w:hint="eastAsia"/>
          <w:color w:val="000000"/>
        </w:rPr>
        <w:t>公立學校、公立研究機關（構）、法人或團體接受第一項政府補助、委託或公立研究機關（構）依法編列之科學技術研究發展預算辦理採購，除我國締結之條約或協定另有規定者外，不適用政府採購法之規定。但應受補助、委託或主管機關之監督；其監督管理辦法，由中央科技主管機關定之。</w:t>
      </w:r>
    </w:p>
    <w:p w:rsidR="0040235F" w:rsidRPr="001E27B1" w:rsidRDefault="0040235F" w:rsidP="0040235F">
      <w:pPr>
        <w:widowControl/>
        <w:rPr>
          <w:rFonts w:ascii="標楷體" w:eastAsia="標楷體" w:hAnsi="標楷體" w:hint="eastAsia"/>
          <w:b/>
          <w:color w:val="000000"/>
          <w:sz w:val="32"/>
          <w:szCs w:val="32"/>
        </w:rPr>
      </w:pPr>
      <w:r>
        <w:rPr>
          <w:rFonts w:ascii="標楷體" w:eastAsia="標楷體" w:hAnsi="標楷體" w:hint="eastAsia"/>
          <w:b/>
          <w:color w:val="000000"/>
          <w:sz w:val="32"/>
          <w:szCs w:val="32"/>
        </w:rPr>
        <w:lastRenderedPageBreak/>
        <w:t>四、</w:t>
      </w:r>
      <w:r w:rsidR="00521441" w:rsidRPr="0040235F">
        <w:rPr>
          <w:rFonts w:ascii="標楷體" w:eastAsia="標楷體" w:hAnsi="標楷體" w:hint="eastAsia"/>
          <w:b/>
          <w:color w:val="000000"/>
          <w:sz w:val="32"/>
          <w:szCs w:val="32"/>
        </w:rPr>
        <w:t>政府科學技術研究發展成果歸屬及運用辦法相關法條：</w:t>
      </w:r>
      <w:r w:rsidR="001E27B1">
        <w:rPr>
          <w:rFonts w:ascii="標楷體" w:eastAsia="標楷體" w:hAnsi="標楷體" w:hint="eastAsia"/>
          <w:color w:val="000000"/>
        </w:rPr>
        <w:t>第3條</w:t>
      </w:r>
    </w:p>
    <w:p w:rsidR="0040235F" w:rsidRPr="0040235F" w:rsidRDefault="0040235F" w:rsidP="001E27B1">
      <w:pPr>
        <w:pStyle w:val="031"/>
        <w:numPr>
          <w:ilvl w:val="0"/>
          <w:numId w:val="7"/>
        </w:numPr>
        <w:spacing w:before="0" w:beforeAutospacing="0" w:after="0" w:afterAutospacing="0"/>
        <w:rPr>
          <w:rFonts w:ascii="標楷體" w:eastAsia="標楷體" w:hAnsi="標楷體" w:cs="Times New Roman" w:hint="eastAsia"/>
          <w:color w:val="000000"/>
          <w:kern w:val="2"/>
        </w:rPr>
      </w:pPr>
      <w:r w:rsidRPr="0040235F">
        <w:rPr>
          <w:rFonts w:ascii="標楷體" w:eastAsia="標楷體" w:hAnsi="標楷體" w:cs="Times New Roman" w:hint="eastAsia"/>
          <w:color w:val="000000"/>
          <w:kern w:val="2"/>
        </w:rPr>
        <w:t>資助機關補助、委託、出資或公立研究機關（構）依法編列科學技術研究發展預算所進行之科學技術研究發展所獲得之研發成果，除經資助機關認定歸屬國家所有者外，歸屬執行研究發展之單位所有。其研發成果之收入，應依第十七條至第十九條規定辦理。</w:t>
      </w:r>
    </w:p>
    <w:p w:rsidR="0040235F" w:rsidRDefault="0040235F" w:rsidP="001E27B1">
      <w:pPr>
        <w:pStyle w:val="031"/>
        <w:numPr>
          <w:ilvl w:val="0"/>
          <w:numId w:val="7"/>
        </w:numPr>
        <w:spacing w:before="0" w:beforeAutospacing="0" w:after="0" w:afterAutospacing="0"/>
        <w:rPr>
          <w:rFonts w:ascii="標楷體" w:eastAsia="標楷體" w:hAnsi="標楷體" w:cs="Times New Roman"/>
          <w:color w:val="000000"/>
          <w:kern w:val="2"/>
        </w:rPr>
      </w:pPr>
      <w:r w:rsidRPr="0040235F">
        <w:rPr>
          <w:rFonts w:ascii="標楷體" w:eastAsia="標楷體" w:hAnsi="標楷體" w:cs="Times New Roman" w:hint="eastAsia"/>
          <w:color w:val="000000"/>
          <w:kern w:val="2"/>
        </w:rPr>
        <w:t>前項有關研發成果之歸屬、管理及運用，資助機關與執行研究發展之單位，應於訂約時，以書面為之。</w:t>
      </w:r>
    </w:p>
    <w:p w:rsidR="001E27B1" w:rsidRDefault="001E27B1" w:rsidP="001E27B1">
      <w:pPr>
        <w:pStyle w:val="031"/>
        <w:spacing w:before="0" w:beforeAutospacing="0" w:after="0" w:afterAutospacing="0"/>
        <w:ind w:left="480"/>
        <w:rPr>
          <w:rFonts w:ascii="標楷體" w:eastAsia="標楷體" w:hAnsi="標楷體" w:cs="Times New Roman" w:hint="eastAsia"/>
          <w:color w:val="000000"/>
          <w:kern w:val="2"/>
        </w:rPr>
      </w:pPr>
    </w:p>
    <w:p w:rsidR="0040235F" w:rsidRDefault="001E27B1" w:rsidP="001E27B1">
      <w:pPr>
        <w:widowControl/>
        <w:rPr>
          <w:rFonts w:ascii="標楷體" w:eastAsia="標楷體" w:hAnsi="標楷體"/>
          <w:b/>
          <w:color w:val="000000"/>
          <w:sz w:val="32"/>
          <w:szCs w:val="32"/>
        </w:rPr>
      </w:pPr>
      <w:r>
        <w:rPr>
          <w:rFonts w:ascii="標楷體" w:eastAsia="標楷體" w:hAnsi="標楷體" w:hint="eastAsia"/>
          <w:color w:val="000000"/>
        </w:rPr>
        <w:t>第5條</w:t>
      </w:r>
    </w:p>
    <w:p w:rsidR="0040235F" w:rsidRPr="0040235F" w:rsidRDefault="0040235F" w:rsidP="001E27B1">
      <w:pPr>
        <w:pStyle w:val="031"/>
        <w:numPr>
          <w:ilvl w:val="0"/>
          <w:numId w:val="8"/>
        </w:numPr>
        <w:spacing w:before="0" w:beforeAutospacing="0" w:after="0" w:afterAutospacing="0"/>
        <w:rPr>
          <w:rFonts w:ascii="標楷體" w:eastAsia="標楷體" w:hAnsi="標楷體" w:hint="eastAsia"/>
          <w:color w:val="000000"/>
        </w:rPr>
      </w:pPr>
      <w:r w:rsidRPr="0040235F">
        <w:rPr>
          <w:rFonts w:ascii="標楷體" w:eastAsia="標楷體" w:hAnsi="標楷體" w:hint="eastAsia"/>
          <w:color w:val="000000"/>
        </w:rPr>
        <w:t>資助機關或執行研究發展之單位依第三條第一項規定取得研發成果者，應負管理及運用之責，並建置研發成果管理機制，管理運用歸屬其所有之研發成果。</w:t>
      </w:r>
    </w:p>
    <w:p w:rsidR="0040235F" w:rsidRPr="0040235F" w:rsidRDefault="0040235F" w:rsidP="001E27B1">
      <w:pPr>
        <w:pStyle w:val="031"/>
        <w:numPr>
          <w:ilvl w:val="0"/>
          <w:numId w:val="8"/>
        </w:numPr>
        <w:spacing w:before="0" w:beforeAutospacing="0" w:after="0" w:afterAutospacing="0"/>
        <w:rPr>
          <w:rFonts w:ascii="標楷體" w:eastAsia="標楷體" w:hAnsi="標楷體" w:hint="eastAsia"/>
          <w:color w:val="000000"/>
        </w:rPr>
      </w:pPr>
      <w:r w:rsidRPr="0040235F">
        <w:rPr>
          <w:rFonts w:ascii="標楷體" w:eastAsia="標楷體" w:hAnsi="標楷體" w:hint="eastAsia"/>
          <w:color w:val="000000"/>
        </w:rPr>
        <w:t>前項研發成果之管理及運用，包括申請及確保國內外權利、授權、讓與、收益、迴避及其相關資訊之揭露、委任、信託、訴訟或其他一切與管理或運用研發成果有關之行為。</w:t>
      </w:r>
    </w:p>
    <w:p w:rsidR="0040235F" w:rsidRPr="0040235F" w:rsidRDefault="0040235F" w:rsidP="001E27B1">
      <w:pPr>
        <w:pStyle w:val="031"/>
        <w:numPr>
          <w:ilvl w:val="0"/>
          <w:numId w:val="8"/>
        </w:numPr>
        <w:spacing w:before="0" w:beforeAutospacing="0" w:after="0" w:afterAutospacing="0"/>
        <w:rPr>
          <w:rFonts w:ascii="標楷體" w:eastAsia="標楷體" w:hAnsi="標楷體" w:hint="eastAsia"/>
          <w:color w:val="000000"/>
        </w:rPr>
      </w:pPr>
      <w:r w:rsidRPr="0040235F">
        <w:rPr>
          <w:rFonts w:ascii="標楷體" w:eastAsia="標楷體" w:hAnsi="標楷體" w:hint="eastAsia"/>
          <w:color w:val="000000"/>
        </w:rPr>
        <w:t>第一項管理機制應包括下列事項：</w:t>
      </w:r>
    </w:p>
    <w:p w:rsidR="0040235F" w:rsidRPr="0040235F" w:rsidRDefault="0040235F" w:rsidP="001E27B1">
      <w:pPr>
        <w:pStyle w:val="031"/>
        <w:numPr>
          <w:ilvl w:val="1"/>
          <w:numId w:val="11"/>
        </w:numPr>
        <w:spacing w:before="0" w:beforeAutospacing="0" w:after="0" w:afterAutospacing="0"/>
        <w:ind w:left="1021" w:hanging="539"/>
        <w:rPr>
          <w:rFonts w:ascii="標楷體" w:eastAsia="標楷體" w:hAnsi="標楷體" w:hint="eastAsia"/>
          <w:color w:val="000000"/>
        </w:rPr>
      </w:pPr>
      <w:r w:rsidRPr="0040235F">
        <w:rPr>
          <w:rFonts w:ascii="標楷體" w:eastAsia="標楷體" w:hAnsi="標楷體" w:hint="eastAsia"/>
          <w:color w:val="000000"/>
        </w:rPr>
        <w:t>指定管理單位：專人管理或由法務、研發部門之人員兼任或以任務性編組方式運作或委託代為管理。</w:t>
      </w:r>
    </w:p>
    <w:p w:rsidR="0040235F" w:rsidRPr="0040235F" w:rsidRDefault="0040235F" w:rsidP="001E27B1">
      <w:pPr>
        <w:pStyle w:val="031"/>
        <w:numPr>
          <w:ilvl w:val="1"/>
          <w:numId w:val="11"/>
        </w:numPr>
        <w:spacing w:before="0" w:beforeAutospacing="0" w:after="0" w:afterAutospacing="0"/>
        <w:ind w:left="1021" w:hanging="539"/>
        <w:rPr>
          <w:rFonts w:ascii="標楷體" w:eastAsia="標楷體" w:hAnsi="標楷體" w:hint="eastAsia"/>
          <w:color w:val="000000"/>
        </w:rPr>
      </w:pPr>
      <w:r w:rsidRPr="0040235F">
        <w:rPr>
          <w:rFonts w:ascii="標楷體" w:eastAsia="標楷體" w:hAnsi="標楷體" w:hint="eastAsia"/>
          <w:color w:val="000000"/>
        </w:rPr>
        <w:t>維護管理：研發成果之維護及終止維護程序，將研發成果記錄管理，並定期盤點。</w:t>
      </w:r>
    </w:p>
    <w:p w:rsidR="0040235F" w:rsidRPr="0040235F" w:rsidRDefault="0040235F" w:rsidP="001E27B1">
      <w:pPr>
        <w:pStyle w:val="031"/>
        <w:numPr>
          <w:ilvl w:val="1"/>
          <w:numId w:val="11"/>
        </w:numPr>
        <w:spacing w:before="0" w:beforeAutospacing="0" w:after="0" w:afterAutospacing="0"/>
        <w:ind w:left="1021" w:hanging="539"/>
        <w:rPr>
          <w:rFonts w:ascii="標楷體" w:eastAsia="標楷體" w:hAnsi="標楷體" w:hint="eastAsia"/>
          <w:color w:val="000000"/>
        </w:rPr>
      </w:pPr>
      <w:r w:rsidRPr="0040235F">
        <w:rPr>
          <w:rFonts w:ascii="標楷體" w:eastAsia="標楷體" w:hAnsi="標楷體" w:hint="eastAsia"/>
          <w:color w:val="000000"/>
        </w:rPr>
        <w:t>運用管理：研發成果授權、讓與或其他運用方式之作業流程。</w:t>
      </w:r>
    </w:p>
    <w:p w:rsidR="0040235F" w:rsidRPr="0040235F" w:rsidRDefault="0040235F" w:rsidP="001E27B1">
      <w:pPr>
        <w:pStyle w:val="031"/>
        <w:numPr>
          <w:ilvl w:val="1"/>
          <w:numId w:val="11"/>
        </w:numPr>
        <w:spacing w:before="0" w:beforeAutospacing="0" w:after="0" w:afterAutospacing="0"/>
        <w:ind w:left="1021" w:hanging="539"/>
        <w:rPr>
          <w:rFonts w:ascii="標楷體" w:eastAsia="標楷體" w:hAnsi="標楷體" w:hint="eastAsia"/>
          <w:color w:val="000000"/>
        </w:rPr>
      </w:pPr>
      <w:r w:rsidRPr="0040235F">
        <w:rPr>
          <w:rFonts w:ascii="標楷體" w:eastAsia="標楷體" w:hAnsi="標楷體" w:hint="eastAsia"/>
          <w:color w:val="000000"/>
        </w:rPr>
        <w:t>利益衝突迴避、資訊揭露管理：受理資訊申報、審議利益衝突迴避、公告揭露資訊等程序。</w:t>
      </w:r>
    </w:p>
    <w:p w:rsidR="0040235F" w:rsidRPr="0040235F" w:rsidRDefault="0040235F" w:rsidP="001E27B1">
      <w:pPr>
        <w:pStyle w:val="031"/>
        <w:numPr>
          <w:ilvl w:val="1"/>
          <w:numId w:val="11"/>
        </w:numPr>
        <w:spacing w:before="0" w:beforeAutospacing="0" w:after="0" w:afterAutospacing="0"/>
        <w:ind w:left="1021" w:hanging="539"/>
        <w:rPr>
          <w:rFonts w:ascii="標楷體" w:eastAsia="標楷體" w:hAnsi="標楷體" w:hint="eastAsia"/>
          <w:color w:val="000000"/>
        </w:rPr>
      </w:pPr>
      <w:r w:rsidRPr="0040235F">
        <w:rPr>
          <w:rFonts w:ascii="標楷體" w:eastAsia="標楷體" w:hAnsi="標楷體" w:hint="eastAsia"/>
          <w:color w:val="000000"/>
        </w:rPr>
        <w:t>文件保管：落實人員、文件及資訊等保密措施。</w:t>
      </w:r>
    </w:p>
    <w:p w:rsidR="0040235F" w:rsidRPr="0040235F" w:rsidRDefault="0040235F" w:rsidP="001E27B1">
      <w:pPr>
        <w:pStyle w:val="031"/>
        <w:numPr>
          <w:ilvl w:val="1"/>
          <w:numId w:val="11"/>
        </w:numPr>
        <w:spacing w:before="0" w:beforeAutospacing="0" w:after="0" w:afterAutospacing="0"/>
        <w:ind w:left="1021" w:hanging="539"/>
        <w:rPr>
          <w:rFonts w:ascii="標楷體" w:eastAsia="標楷體" w:hAnsi="標楷體" w:hint="eastAsia"/>
          <w:color w:val="000000"/>
        </w:rPr>
      </w:pPr>
      <w:r w:rsidRPr="0040235F">
        <w:rPr>
          <w:rFonts w:ascii="標楷體" w:eastAsia="標楷體" w:hAnsi="標楷體" w:hint="eastAsia"/>
          <w:color w:val="000000"/>
        </w:rPr>
        <w:t>會計處理：單獨列帳管理研發成果之收入及支出。</w:t>
      </w:r>
    </w:p>
    <w:p w:rsidR="001E27B1" w:rsidRDefault="0040235F" w:rsidP="001E27B1">
      <w:pPr>
        <w:pStyle w:val="031"/>
        <w:numPr>
          <w:ilvl w:val="1"/>
          <w:numId w:val="11"/>
        </w:numPr>
        <w:spacing w:before="0" w:beforeAutospacing="0" w:after="0" w:afterAutospacing="0"/>
        <w:ind w:left="1021" w:hanging="539"/>
        <w:rPr>
          <w:rFonts w:ascii="標楷體" w:eastAsia="標楷體" w:hAnsi="標楷體"/>
          <w:color w:val="000000"/>
        </w:rPr>
      </w:pPr>
      <w:r w:rsidRPr="0040235F">
        <w:rPr>
          <w:rFonts w:ascii="標楷體" w:eastAsia="標楷體" w:hAnsi="標楷體" w:hint="eastAsia"/>
          <w:color w:val="000000"/>
        </w:rPr>
        <w:t>股權處分管理：建立處分股權之價格、時點等評估程序。</w:t>
      </w:r>
    </w:p>
    <w:p w:rsidR="001E27B1" w:rsidRDefault="001E27B1" w:rsidP="001E27B1">
      <w:pPr>
        <w:pStyle w:val="031"/>
        <w:spacing w:before="0" w:beforeAutospacing="0" w:after="0" w:afterAutospacing="0"/>
        <w:ind w:left="1021"/>
        <w:rPr>
          <w:rFonts w:ascii="標楷體" w:eastAsia="標楷體" w:hAnsi="標楷體" w:hint="eastAsia"/>
          <w:color w:val="000000"/>
        </w:rPr>
      </w:pPr>
    </w:p>
    <w:p w:rsidR="001E27B1" w:rsidRPr="001E27B1" w:rsidRDefault="001E27B1" w:rsidP="001E27B1">
      <w:pPr>
        <w:pStyle w:val="031"/>
        <w:spacing w:before="0" w:beforeAutospacing="0" w:after="0" w:afterAutospacing="0"/>
        <w:ind w:left="1100" w:hanging="1100"/>
        <w:rPr>
          <w:rFonts w:ascii="標楷體" w:eastAsia="標楷體" w:hAnsi="標楷體" w:hint="eastAsia"/>
          <w:color w:val="000000"/>
        </w:rPr>
      </w:pPr>
      <w:r>
        <w:rPr>
          <w:rFonts w:ascii="標楷體" w:eastAsia="標楷體" w:hAnsi="標楷體" w:hint="eastAsia"/>
          <w:color w:val="000000"/>
        </w:rPr>
        <w:t xml:space="preserve">第15條  </w:t>
      </w:r>
      <w:r w:rsidRPr="001E27B1">
        <w:rPr>
          <w:rFonts w:ascii="標楷體" w:eastAsia="標楷體" w:hAnsi="標楷體" w:hint="eastAsia"/>
          <w:color w:val="000000"/>
        </w:rPr>
        <w:t>依第五條第一項規定負研發成果管理及運用之責者，於辦理研發成果讓與或授權時，應符合下列各款規定。但以其他方式為之，更能符合本法之宗旨或目的者，不在此限：</w:t>
      </w:r>
    </w:p>
    <w:p w:rsidR="001E27B1" w:rsidRPr="001E27B1" w:rsidRDefault="001E27B1" w:rsidP="001E27B1">
      <w:pPr>
        <w:pStyle w:val="031"/>
        <w:spacing w:before="0" w:beforeAutospacing="0" w:after="0" w:afterAutospacing="0"/>
        <w:ind w:leftChars="500" w:left="1680" w:hangingChars="200" w:hanging="480"/>
        <w:rPr>
          <w:rFonts w:ascii="標楷體" w:eastAsia="標楷體" w:hAnsi="標楷體" w:hint="eastAsia"/>
          <w:color w:val="000000"/>
        </w:rPr>
      </w:pPr>
      <w:r w:rsidRPr="001E27B1">
        <w:rPr>
          <w:rFonts w:ascii="標楷體" w:eastAsia="標楷體" w:hAnsi="標楷體" w:hint="eastAsia"/>
          <w:color w:val="000000"/>
        </w:rPr>
        <w:t>一、以公平、公開及有償方式為之。</w:t>
      </w:r>
    </w:p>
    <w:p w:rsidR="00C53C11" w:rsidRPr="00C53C11" w:rsidRDefault="001E27B1" w:rsidP="001E27B1">
      <w:pPr>
        <w:pStyle w:val="031"/>
        <w:spacing w:before="0" w:beforeAutospacing="0" w:after="0" w:afterAutospacing="0"/>
        <w:ind w:leftChars="500" w:left="1680" w:hangingChars="200" w:hanging="480"/>
        <w:rPr>
          <w:rFonts w:ascii="標楷體" w:eastAsia="標楷體" w:hAnsi="標楷體"/>
          <w:color w:val="000000"/>
        </w:rPr>
      </w:pPr>
      <w:r w:rsidRPr="001E27B1">
        <w:rPr>
          <w:rFonts w:ascii="標楷體" w:eastAsia="標楷體" w:hAnsi="標楷體" w:hint="eastAsia"/>
          <w:color w:val="000000"/>
        </w:rPr>
        <w:t>二、以公立學校、公立研究機關（構）、公營事業、法人或團體為對象。</w:t>
      </w:r>
    </w:p>
    <w:p w:rsidR="00C53C11" w:rsidRPr="00C53C11" w:rsidRDefault="00C53C11" w:rsidP="00C53C11">
      <w:pPr>
        <w:pStyle w:val="031"/>
        <w:spacing w:line="240" w:lineRule="atLeast"/>
        <w:ind w:left="1100" w:hanging="1100"/>
        <w:rPr>
          <w:rFonts w:ascii="標楷體" w:eastAsia="標楷體" w:hAnsi="標楷體"/>
          <w:color w:val="000000"/>
        </w:rPr>
      </w:pPr>
      <w:r w:rsidRPr="00C53C11">
        <w:rPr>
          <w:rFonts w:ascii="標楷體" w:eastAsia="標楷體" w:hAnsi="標楷體" w:hint="eastAsia"/>
          <w:color w:val="000000"/>
        </w:rPr>
        <w:lastRenderedPageBreak/>
        <w:t>第</w:t>
      </w:r>
      <w:r w:rsidR="001E27B1">
        <w:rPr>
          <w:rFonts w:ascii="標楷體" w:eastAsia="標楷體" w:hAnsi="標楷體" w:hint="eastAsia"/>
          <w:color w:val="000000"/>
        </w:rPr>
        <w:t xml:space="preserve">21條　</w:t>
      </w:r>
      <w:r w:rsidR="001E27B1" w:rsidRPr="001E27B1">
        <w:rPr>
          <w:rFonts w:ascii="標楷體" w:eastAsia="標楷體" w:hAnsi="標楷體" w:hint="eastAsia"/>
          <w:color w:val="000000"/>
        </w:rPr>
        <w:t>政府機關（構）以非科技計畫預算補助、委託或出資進行科學技術研究發展計畫所產生之研發成果，其歸屬、管理及運用，得準用本辦法之規定。</w:t>
      </w:r>
    </w:p>
    <w:p w:rsidR="00C53C11" w:rsidRPr="00C53C11" w:rsidRDefault="00674234" w:rsidP="00C53C11">
      <w:pPr>
        <w:pStyle w:val="031"/>
        <w:spacing w:line="240" w:lineRule="atLeast"/>
        <w:rPr>
          <w:rFonts w:ascii="標楷體" w:eastAsia="標楷體" w:hAnsi="標楷體" w:cs="新細明體" w:hint="eastAsia"/>
          <w:b/>
          <w:sz w:val="28"/>
          <w:szCs w:val="28"/>
        </w:rPr>
      </w:pPr>
      <w:r>
        <w:rPr>
          <w:rFonts w:ascii="標楷體" w:eastAsia="標楷體" w:hAnsi="標楷體" w:hint="eastAsia"/>
          <w:b/>
          <w:color w:val="000000"/>
          <w:sz w:val="28"/>
          <w:szCs w:val="28"/>
        </w:rPr>
        <w:t>五</w:t>
      </w:r>
      <w:r w:rsidR="00C53C11" w:rsidRPr="00C53C11">
        <w:rPr>
          <w:rFonts w:ascii="標楷體" w:eastAsia="標楷體" w:hAnsi="標楷體" w:hint="eastAsia"/>
          <w:b/>
          <w:color w:val="000000"/>
          <w:sz w:val="28"/>
          <w:szCs w:val="28"/>
        </w:rPr>
        <w:t>、</w:t>
      </w:r>
      <w:r w:rsidR="00C53C11" w:rsidRPr="00C53C11">
        <w:rPr>
          <w:rFonts w:ascii="標楷體" w:eastAsia="標楷體" w:hAnsi="標楷體" w:cs="新細明體" w:hint="eastAsia"/>
          <w:b/>
          <w:sz w:val="28"/>
          <w:szCs w:val="28"/>
        </w:rPr>
        <w:t>國立虎尾科技大學研究發展成果管理要點」第三條等規定：</w:t>
      </w:r>
    </w:p>
    <w:p w:rsidR="00C53C11" w:rsidRPr="00C53C11" w:rsidRDefault="00C53C11" w:rsidP="00C53C11">
      <w:pPr>
        <w:jc w:val="both"/>
        <w:rPr>
          <w:rFonts w:ascii="標楷體" w:eastAsia="標楷體" w:hAnsi="標楷體"/>
        </w:rPr>
      </w:pPr>
      <w:r w:rsidRPr="00C53C11">
        <w:rPr>
          <w:rFonts w:ascii="標楷體" w:eastAsia="標楷體" w:hAnsi="標楷體" w:hint="eastAsia"/>
        </w:rPr>
        <w:t>第三條</w:t>
      </w:r>
      <w:r w:rsidRPr="00C53C11">
        <w:rPr>
          <w:rFonts w:ascii="標楷體" w:eastAsia="標楷體" w:hAnsi="標楷體"/>
        </w:rPr>
        <w:t>(成果歸屬)</w:t>
      </w:r>
    </w:p>
    <w:p w:rsidR="001E27B1" w:rsidRPr="00753273" w:rsidRDefault="001E27B1" w:rsidP="001E27B1">
      <w:pPr>
        <w:numPr>
          <w:ilvl w:val="1"/>
          <w:numId w:val="12"/>
        </w:numPr>
        <w:suppressAutoHyphens/>
        <w:autoSpaceDN w:val="0"/>
        <w:spacing w:line="0" w:lineRule="atLeast"/>
        <w:ind w:left="1021" w:hanging="539"/>
        <w:jc w:val="both"/>
        <w:textAlignment w:val="baseline"/>
        <w:rPr>
          <w:rFonts w:ascii="細明體" w:eastAsia="標楷體" w:hAnsi="細明體"/>
          <w:kern w:val="0"/>
        </w:rPr>
      </w:pPr>
      <w:r w:rsidRPr="00753273">
        <w:rPr>
          <w:rFonts w:ascii="細明體" w:eastAsia="標楷體" w:hAnsi="細明體"/>
          <w:kern w:val="0"/>
        </w:rPr>
        <w:t>前條所稱之「職務上所產生之研究發展成果」，係指由本校編列預算、校務基金或政府等補助、委辦或出資，所獲得之成果與技術，除法令另有規定外，財產權歸屬本校。</w:t>
      </w:r>
    </w:p>
    <w:p w:rsidR="001E27B1" w:rsidRPr="00753273" w:rsidRDefault="001E27B1" w:rsidP="001E27B1">
      <w:pPr>
        <w:numPr>
          <w:ilvl w:val="1"/>
          <w:numId w:val="12"/>
        </w:numPr>
        <w:suppressAutoHyphens/>
        <w:autoSpaceDN w:val="0"/>
        <w:spacing w:line="0" w:lineRule="atLeast"/>
        <w:ind w:left="1021" w:hanging="539"/>
        <w:jc w:val="both"/>
        <w:textAlignment w:val="baseline"/>
        <w:rPr>
          <w:rFonts w:ascii="細明體" w:eastAsia="標楷體" w:hAnsi="細明體"/>
          <w:kern w:val="0"/>
        </w:rPr>
      </w:pPr>
      <w:r w:rsidRPr="00753273">
        <w:rPr>
          <w:rFonts w:ascii="細明體" w:eastAsia="標楷體" w:hAnsi="細明體"/>
          <w:kern w:val="0"/>
        </w:rPr>
        <w:t>利用本校資源（含本校支薪人員、設備等相關資源）完成之研究而衍生之研發成果，除另有法令規定或本校校規規定外，其智慧財產權為本校所有。</w:t>
      </w:r>
    </w:p>
    <w:p w:rsidR="001E27B1" w:rsidRPr="00753273" w:rsidRDefault="001E27B1" w:rsidP="001E27B1">
      <w:pPr>
        <w:numPr>
          <w:ilvl w:val="1"/>
          <w:numId w:val="12"/>
        </w:numPr>
        <w:suppressAutoHyphens/>
        <w:autoSpaceDN w:val="0"/>
        <w:spacing w:line="0" w:lineRule="atLeast"/>
        <w:ind w:left="1021" w:hanging="539"/>
        <w:jc w:val="both"/>
        <w:textAlignment w:val="baseline"/>
        <w:rPr>
          <w:rFonts w:ascii="細明體" w:eastAsia="標楷體" w:hAnsi="細明體"/>
          <w:kern w:val="0"/>
        </w:rPr>
      </w:pPr>
      <w:r w:rsidRPr="00753273">
        <w:rPr>
          <w:rFonts w:ascii="細明體" w:eastAsia="標楷體" w:hAnsi="細明體"/>
          <w:kern w:val="0"/>
        </w:rPr>
        <w:t>受託自民間企業或其他非官方團體（機構）之研發案，除另有法令規定或本校校規規定或契約訂定外，其智慧財產權為本校所有；但本校得參酌資本與勞務之比例與研發之貢獻，使研發成果全部或部份歸屬委託團體（機構）所有或授權使用，惟相關之權利義務應於契約中明訂。</w:t>
      </w:r>
    </w:p>
    <w:p w:rsidR="009D2C21" w:rsidRPr="001E27B1" w:rsidRDefault="009D2C21" w:rsidP="001E27B1">
      <w:pPr>
        <w:ind w:left="1080" w:hangingChars="450" w:hanging="1080"/>
        <w:jc w:val="both"/>
        <w:rPr>
          <w:rFonts w:ascii="標楷體" w:eastAsia="標楷體" w:hAnsi="標楷體" w:cs="新細明體" w:hint="eastAsia"/>
          <w:kern w:val="0"/>
        </w:rPr>
      </w:pPr>
    </w:p>
    <w:sectPr w:rsidR="009D2C21" w:rsidRPr="001E27B1" w:rsidSect="00D2574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66" w:rsidRDefault="003F4266" w:rsidP="00C36121">
      <w:r>
        <w:separator/>
      </w:r>
    </w:p>
  </w:endnote>
  <w:endnote w:type="continuationSeparator" w:id="0">
    <w:p w:rsidR="003F4266" w:rsidRDefault="003F4266" w:rsidP="00C3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66" w:rsidRDefault="003F4266" w:rsidP="00C36121">
      <w:r>
        <w:separator/>
      </w:r>
    </w:p>
  </w:footnote>
  <w:footnote w:type="continuationSeparator" w:id="0">
    <w:p w:rsidR="003F4266" w:rsidRDefault="003F4266" w:rsidP="00C361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4B6"/>
    <w:multiLevelType w:val="multilevel"/>
    <w:tmpl w:val="5D0E52C0"/>
    <w:lvl w:ilvl="0">
      <w:start w:val="10"/>
      <w:numFmt w:val="taiwaneseCountingThousand"/>
      <w:lvlText w:val="第%1條"/>
      <w:lvlJc w:val="left"/>
      <w:rPr>
        <w:rFonts w:eastAsia="標楷體"/>
        <w:color w:val="FF0000"/>
      </w:rPr>
    </w:lvl>
    <w:lvl w:ilvl="1">
      <w:start w:val="1"/>
      <w:numFmt w:val="taiwaneseCountingThousand"/>
      <w:suff w:val="space"/>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1422C3"/>
    <w:multiLevelType w:val="hybridMultilevel"/>
    <w:tmpl w:val="8FCC2CA0"/>
    <w:lvl w:ilvl="0" w:tplc="56E06366">
      <w:start w:val="4"/>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C395E0C"/>
    <w:multiLevelType w:val="hybridMultilevel"/>
    <w:tmpl w:val="7F26612E"/>
    <w:lvl w:ilvl="0" w:tplc="E24AD710">
      <w:start w:val="3"/>
      <w:numFmt w:val="decimal"/>
      <w:lvlText w:val="第%1條"/>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5B15AD"/>
    <w:multiLevelType w:val="hybridMultilevel"/>
    <w:tmpl w:val="8FFA0638"/>
    <w:lvl w:ilvl="0" w:tplc="56E06366">
      <w:start w:val="4"/>
      <w:numFmt w:val="taiwaneseCountingThousand"/>
      <w:lvlText w:val="%1、"/>
      <w:lvlJc w:val="left"/>
      <w:pPr>
        <w:ind w:left="960" w:hanging="480"/>
      </w:pPr>
      <w:rPr>
        <w:rFonts w:hint="default"/>
      </w:rPr>
    </w:lvl>
    <w:lvl w:ilvl="1" w:tplc="56E06366">
      <w:start w:val="4"/>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D7E06A6"/>
    <w:multiLevelType w:val="hybridMultilevel"/>
    <w:tmpl w:val="674A17C4"/>
    <w:lvl w:ilvl="0" w:tplc="605E6192">
      <w:start w:val="1"/>
      <w:numFmt w:val="taiwaneseCountingThousand"/>
      <w:lvlText w:val="第%1條"/>
      <w:lvlJc w:val="left"/>
      <w:pPr>
        <w:tabs>
          <w:tab w:val="num" w:pos="510"/>
        </w:tabs>
        <w:ind w:left="0" w:firstLine="0"/>
      </w:pPr>
      <w:rPr>
        <w:rFonts w:eastAsia="標楷體" w:hint="eastAsia"/>
      </w:rPr>
    </w:lvl>
    <w:lvl w:ilvl="1" w:tplc="FE84C7A8">
      <w:start w:val="1"/>
      <w:numFmt w:val="taiwaneseCountingThousand"/>
      <w:lvlText w:val="%2、"/>
      <w:lvlJc w:val="left"/>
      <w:pPr>
        <w:tabs>
          <w:tab w:val="num" w:pos="840"/>
        </w:tabs>
        <w:ind w:left="840" w:hanging="36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88D3A0E"/>
    <w:multiLevelType w:val="hybridMultilevel"/>
    <w:tmpl w:val="D5B8B0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05783B"/>
    <w:multiLevelType w:val="hybridMultilevel"/>
    <w:tmpl w:val="1D2C7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A66DE4"/>
    <w:multiLevelType w:val="hybridMultilevel"/>
    <w:tmpl w:val="6682E7CE"/>
    <w:lvl w:ilvl="0" w:tplc="0409000F">
      <w:start w:val="1"/>
      <w:numFmt w:val="decimal"/>
      <w:lvlText w:val="%1."/>
      <w:lvlJc w:val="left"/>
      <w:pPr>
        <w:ind w:left="480" w:hanging="480"/>
      </w:pPr>
    </w:lvl>
    <w:lvl w:ilvl="1" w:tplc="91DC36F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8F7EAD"/>
    <w:multiLevelType w:val="hybridMultilevel"/>
    <w:tmpl w:val="1D2C7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F16330"/>
    <w:multiLevelType w:val="hybridMultilevel"/>
    <w:tmpl w:val="197E560E"/>
    <w:lvl w:ilvl="0" w:tplc="CE72685C">
      <w:start w:val="1"/>
      <w:numFmt w:val="decimal"/>
      <w:lvlText w:val="第%1條"/>
      <w:lvlJc w:val="left"/>
      <w:pPr>
        <w:ind w:left="480" w:hanging="480"/>
      </w:pPr>
      <w:rPr>
        <w:rFonts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061791"/>
    <w:multiLevelType w:val="hybridMultilevel"/>
    <w:tmpl w:val="9412DE70"/>
    <w:lvl w:ilvl="0" w:tplc="56E0636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9E37C3"/>
    <w:multiLevelType w:val="hybridMultilevel"/>
    <w:tmpl w:val="F94EA974"/>
    <w:lvl w:ilvl="0" w:tplc="CD5A94E0">
      <w:start w:val="1"/>
      <w:numFmt w:val="taiwaneseCountingThousand"/>
      <w:lvlText w:val="%1、"/>
      <w:lvlJc w:val="left"/>
      <w:pPr>
        <w:ind w:left="480" w:hanging="480"/>
      </w:pPr>
      <w:rPr>
        <w:rFonts w:hint="default"/>
      </w:rPr>
    </w:lvl>
    <w:lvl w:ilvl="1" w:tplc="0CB4CCDE">
      <w:start w:val="1"/>
      <w:numFmt w:val="taiwaneseCountingThousand"/>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8"/>
  </w:num>
  <w:num w:numId="3">
    <w:abstractNumId w:val="6"/>
  </w:num>
  <w:num w:numId="4">
    <w:abstractNumId w:val="9"/>
  </w:num>
  <w:num w:numId="5">
    <w:abstractNumId w:val="2"/>
  </w:num>
  <w:num w:numId="6">
    <w:abstractNumId w:val="10"/>
  </w:num>
  <w:num w:numId="7">
    <w:abstractNumId w:val="5"/>
  </w:num>
  <w:num w:numId="8">
    <w:abstractNumId w:val="7"/>
  </w:num>
  <w:num w:numId="9">
    <w:abstractNumId w:val="1"/>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21"/>
    <w:rsid w:val="00032935"/>
    <w:rsid w:val="000921E9"/>
    <w:rsid w:val="001157CA"/>
    <w:rsid w:val="00157BB8"/>
    <w:rsid w:val="00162E35"/>
    <w:rsid w:val="0017486F"/>
    <w:rsid w:val="00186E10"/>
    <w:rsid w:val="001B7BF4"/>
    <w:rsid w:val="001E27B1"/>
    <w:rsid w:val="001F41EC"/>
    <w:rsid w:val="002539E7"/>
    <w:rsid w:val="002572C1"/>
    <w:rsid w:val="00257904"/>
    <w:rsid w:val="002C1155"/>
    <w:rsid w:val="00304C46"/>
    <w:rsid w:val="00335848"/>
    <w:rsid w:val="003F27FA"/>
    <w:rsid w:val="003F4266"/>
    <w:rsid w:val="0040235F"/>
    <w:rsid w:val="00407A89"/>
    <w:rsid w:val="0044427E"/>
    <w:rsid w:val="004547CA"/>
    <w:rsid w:val="00454E40"/>
    <w:rsid w:val="004B4CE8"/>
    <w:rsid w:val="004F2374"/>
    <w:rsid w:val="00521441"/>
    <w:rsid w:val="00546A8D"/>
    <w:rsid w:val="00583E3F"/>
    <w:rsid w:val="0059373E"/>
    <w:rsid w:val="005970A1"/>
    <w:rsid w:val="0067156F"/>
    <w:rsid w:val="00674234"/>
    <w:rsid w:val="006A2170"/>
    <w:rsid w:val="006F6924"/>
    <w:rsid w:val="007167BD"/>
    <w:rsid w:val="00734F0E"/>
    <w:rsid w:val="00795D04"/>
    <w:rsid w:val="007E30F9"/>
    <w:rsid w:val="0081275D"/>
    <w:rsid w:val="00814FBB"/>
    <w:rsid w:val="00821AE2"/>
    <w:rsid w:val="008565E4"/>
    <w:rsid w:val="00860AD4"/>
    <w:rsid w:val="008D38DF"/>
    <w:rsid w:val="00924D5D"/>
    <w:rsid w:val="009721E1"/>
    <w:rsid w:val="009C576A"/>
    <w:rsid w:val="009D1CFB"/>
    <w:rsid w:val="009D2C21"/>
    <w:rsid w:val="00A81457"/>
    <w:rsid w:val="00A8469F"/>
    <w:rsid w:val="00AB4B9E"/>
    <w:rsid w:val="00AD25B4"/>
    <w:rsid w:val="00B175D8"/>
    <w:rsid w:val="00B45620"/>
    <w:rsid w:val="00B70971"/>
    <w:rsid w:val="00BA760D"/>
    <w:rsid w:val="00BF713D"/>
    <w:rsid w:val="00C36121"/>
    <w:rsid w:val="00C53C11"/>
    <w:rsid w:val="00C80F08"/>
    <w:rsid w:val="00CB5370"/>
    <w:rsid w:val="00CD5A4D"/>
    <w:rsid w:val="00D10A3D"/>
    <w:rsid w:val="00D22D3D"/>
    <w:rsid w:val="00D25746"/>
    <w:rsid w:val="00D371A4"/>
    <w:rsid w:val="00D43DA7"/>
    <w:rsid w:val="00D5175D"/>
    <w:rsid w:val="00D65B70"/>
    <w:rsid w:val="00DA3106"/>
    <w:rsid w:val="00DD7DD9"/>
    <w:rsid w:val="00E32A30"/>
    <w:rsid w:val="00E633DC"/>
    <w:rsid w:val="00E66D21"/>
    <w:rsid w:val="00E90A17"/>
    <w:rsid w:val="00F432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10D5E8-235D-46E1-B259-899D0497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C21"/>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814FBB"/>
    <w:pPr>
      <w:autoSpaceDE w:val="0"/>
      <w:autoSpaceDN w:val="0"/>
      <w:adjustRightInd w:val="0"/>
    </w:pPr>
    <w:rPr>
      <w:rFonts w:ascii="標楷體" w:eastAsia="標楷體"/>
      <w:sz w:val="32"/>
      <w:szCs w:val="20"/>
    </w:rPr>
  </w:style>
  <w:style w:type="paragraph" w:customStyle="1" w:styleId="031">
    <w:name w:val="031"/>
    <w:basedOn w:val="a"/>
    <w:rsid w:val="00C53C11"/>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rsid w:val="00C53C11"/>
    <w:pPr>
      <w:spacing w:after="120" w:line="480" w:lineRule="auto"/>
      <w:ind w:leftChars="200" w:left="480"/>
    </w:pPr>
  </w:style>
  <w:style w:type="paragraph" w:styleId="a4">
    <w:name w:val="header"/>
    <w:basedOn w:val="a"/>
    <w:link w:val="a5"/>
    <w:rsid w:val="00C36121"/>
    <w:pPr>
      <w:tabs>
        <w:tab w:val="center" w:pos="4153"/>
        <w:tab w:val="right" w:pos="8306"/>
      </w:tabs>
      <w:snapToGrid w:val="0"/>
    </w:pPr>
    <w:rPr>
      <w:sz w:val="20"/>
      <w:szCs w:val="20"/>
    </w:rPr>
  </w:style>
  <w:style w:type="character" w:customStyle="1" w:styleId="a5">
    <w:name w:val="頁首 字元"/>
    <w:basedOn w:val="a0"/>
    <w:link w:val="a4"/>
    <w:rsid w:val="00C36121"/>
    <w:rPr>
      <w:kern w:val="2"/>
    </w:rPr>
  </w:style>
  <w:style w:type="paragraph" w:styleId="a6">
    <w:name w:val="footer"/>
    <w:basedOn w:val="a"/>
    <w:link w:val="a7"/>
    <w:rsid w:val="00C36121"/>
    <w:pPr>
      <w:tabs>
        <w:tab w:val="center" w:pos="4153"/>
        <w:tab w:val="right" w:pos="8306"/>
      </w:tabs>
      <w:snapToGrid w:val="0"/>
    </w:pPr>
    <w:rPr>
      <w:sz w:val="20"/>
      <w:szCs w:val="20"/>
    </w:rPr>
  </w:style>
  <w:style w:type="character" w:customStyle="1" w:styleId="a7">
    <w:name w:val="頁尾 字元"/>
    <w:basedOn w:val="a0"/>
    <w:link w:val="a6"/>
    <w:rsid w:val="00C3612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643057">
      <w:bodyDiv w:val="1"/>
      <w:marLeft w:val="0"/>
      <w:marRight w:val="0"/>
      <w:marTop w:val="0"/>
      <w:marBottom w:val="0"/>
      <w:divBdr>
        <w:top w:val="none" w:sz="0" w:space="0" w:color="auto"/>
        <w:left w:val="none" w:sz="0" w:space="0" w:color="auto"/>
        <w:bottom w:val="none" w:sz="0" w:space="0" w:color="auto"/>
        <w:right w:val="none" w:sz="0" w:space="0" w:color="auto"/>
      </w:divBdr>
      <w:divsChild>
        <w:div w:id="1129086333">
          <w:marLeft w:val="0"/>
          <w:marRight w:val="0"/>
          <w:marTop w:val="0"/>
          <w:marBottom w:val="120"/>
          <w:divBdr>
            <w:top w:val="none" w:sz="0" w:space="0" w:color="auto"/>
            <w:left w:val="none" w:sz="0" w:space="0" w:color="auto"/>
            <w:bottom w:val="none" w:sz="0" w:space="0" w:color="auto"/>
            <w:right w:val="none" w:sz="0" w:space="0" w:color="auto"/>
          </w:divBdr>
        </w:div>
        <w:div w:id="1648514162">
          <w:marLeft w:val="0"/>
          <w:marRight w:val="0"/>
          <w:marTop w:val="0"/>
          <w:marBottom w:val="120"/>
          <w:divBdr>
            <w:top w:val="none" w:sz="0" w:space="0" w:color="auto"/>
            <w:left w:val="none" w:sz="0" w:space="0" w:color="auto"/>
            <w:bottom w:val="none" w:sz="0" w:space="0" w:color="auto"/>
            <w:right w:val="none" w:sz="0" w:space="0" w:color="auto"/>
          </w:divBdr>
        </w:div>
      </w:divsChild>
    </w:div>
    <w:div w:id="1190799628">
      <w:bodyDiv w:val="1"/>
      <w:marLeft w:val="0"/>
      <w:marRight w:val="0"/>
      <w:marTop w:val="0"/>
      <w:marBottom w:val="0"/>
      <w:divBdr>
        <w:top w:val="none" w:sz="0" w:space="0" w:color="auto"/>
        <w:left w:val="none" w:sz="0" w:space="0" w:color="auto"/>
        <w:bottom w:val="none" w:sz="0" w:space="0" w:color="auto"/>
        <w:right w:val="none" w:sz="0" w:space="0" w:color="auto"/>
      </w:divBdr>
      <w:divsChild>
        <w:div w:id="1266188128">
          <w:marLeft w:val="0"/>
          <w:marRight w:val="240"/>
          <w:marTop w:val="0"/>
          <w:marBottom w:val="0"/>
          <w:divBdr>
            <w:top w:val="none" w:sz="0" w:space="0" w:color="auto"/>
            <w:left w:val="none" w:sz="0" w:space="0" w:color="auto"/>
            <w:bottom w:val="none" w:sz="0" w:space="0" w:color="auto"/>
            <w:right w:val="none" w:sz="0" w:space="0" w:color="auto"/>
          </w:divBdr>
        </w:div>
        <w:div w:id="2098094559">
          <w:marLeft w:val="0"/>
          <w:marRight w:val="0"/>
          <w:marTop w:val="0"/>
          <w:marBottom w:val="0"/>
          <w:divBdr>
            <w:top w:val="none" w:sz="0" w:space="0" w:color="auto"/>
            <w:left w:val="none" w:sz="0" w:space="0" w:color="auto"/>
            <w:bottom w:val="none" w:sz="0" w:space="0" w:color="auto"/>
            <w:right w:val="none" w:sz="0" w:space="0" w:color="auto"/>
          </w:divBdr>
          <w:divsChild>
            <w:div w:id="312489954">
              <w:marLeft w:val="0"/>
              <w:marRight w:val="0"/>
              <w:marTop w:val="0"/>
              <w:marBottom w:val="0"/>
              <w:divBdr>
                <w:top w:val="none" w:sz="0" w:space="0" w:color="auto"/>
                <w:left w:val="none" w:sz="0" w:space="0" w:color="auto"/>
                <w:bottom w:val="none" w:sz="0" w:space="0" w:color="auto"/>
                <w:right w:val="none" w:sz="0" w:space="0" w:color="auto"/>
              </w:divBdr>
              <w:divsChild>
                <w:div w:id="7972652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53072550">
      <w:bodyDiv w:val="1"/>
      <w:marLeft w:val="0"/>
      <w:marRight w:val="0"/>
      <w:marTop w:val="0"/>
      <w:marBottom w:val="0"/>
      <w:divBdr>
        <w:top w:val="none" w:sz="0" w:space="0" w:color="auto"/>
        <w:left w:val="none" w:sz="0" w:space="0" w:color="auto"/>
        <w:bottom w:val="none" w:sz="0" w:space="0" w:color="auto"/>
        <w:right w:val="none" w:sz="0" w:space="0" w:color="auto"/>
      </w:divBdr>
      <w:divsChild>
        <w:div w:id="910390479">
          <w:marLeft w:val="0"/>
          <w:marRight w:val="0"/>
          <w:marTop w:val="0"/>
          <w:marBottom w:val="120"/>
          <w:divBdr>
            <w:top w:val="none" w:sz="0" w:space="0" w:color="auto"/>
            <w:left w:val="none" w:sz="0" w:space="0" w:color="auto"/>
            <w:bottom w:val="none" w:sz="0" w:space="0" w:color="auto"/>
            <w:right w:val="none" w:sz="0" w:space="0" w:color="auto"/>
          </w:divBdr>
        </w:div>
        <w:div w:id="1557936198">
          <w:marLeft w:val="0"/>
          <w:marRight w:val="0"/>
          <w:marTop w:val="0"/>
          <w:marBottom w:val="120"/>
          <w:divBdr>
            <w:top w:val="none" w:sz="0" w:space="0" w:color="auto"/>
            <w:left w:val="none" w:sz="0" w:space="0" w:color="auto"/>
            <w:bottom w:val="none" w:sz="0" w:space="0" w:color="auto"/>
            <w:right w:val="none" w:sz="0" w:space="0" w:color="auto"/>
          </w:divBdr>
        </w:div>
        <w:div w:id="1649164043">
          <w:marLeft w:val="0"/>
          <w:marRight w:val="0"/>
          <w:marTop w:val="0"/>
          <w:marBottom w:val="120"/>
          <w:divBdr>
            <w:top w:val="none" w:sz="0" w:space="0" w:color="auto"/>
            <w:left w:val="none" w:sz="0" w:space="0" w:color="auto"/>
            <w:bottom w:val="none" w:sz="0" w:space="0" w:color="auto"/>
            <w:right w:val="none" w:sz="0" w:space="0" w:color="auto"/>
          </w:divBdr>
        </w:div>
        <w:div w:id="202697450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1688</Characters>
  <Application>Microsoft Office Word</Application>
  <DocSecurity>0</DocSecurity>
  <Lines>14</Lines>
  <Paragraphs>3</Paragraphs>
  <ScaleCrop>false</ScaleCrop>
  <Company>CMT</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壹、研發成果歸屬相關規定：</dc:title>
  <dc:subject/>
  <dc:creator>user</dc:creator>
  <cp:keywords/>
  <dc:description/>
  <cp:lastModifiedBy>admin</cp:lastModifiedBy>
  <cp:revision>3</cp:revision>
  <dcterms:created xsi:type="dcterms:W3CDTF">2022-09-27T07:26:00Z</dcterms:created>
  <dcterms:modified xsi:type="dcterms:W3CDTF">2022-09-27T07:27:00Z</dcterms:modified>
</cp:coreProperties>
</file>